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B3" w:rsidRPr="00106B6B" w:rsidRDefault="00106B6B" w:rsidP="00106B6B">
      <w:pPr>
        <w:jc w:val="center"/>
        <w:rPr>
          <w:b/>
        </w:rPr>
      </w:pPr>
      <w:r w:rsidRPr="00106B6B">
        <w:rPr>
          <w:b/>
        </w:rPr>
        <w:t xml:space="preserve">Hoerger’s </w:t>
      </w:r>
      <w:r w:rsidR="0032611C" w:rsidRPr="00106B6B">
        <w:rPr>
          <w:b/>
        </w:rPr>
        <w:t xml:space="preserve">Statistical </w:t>
      </w:r>
      <w:r w:rsidR="001805AF" w:rsidRPr="00106B6B">
        <w:rPr>
          <w:b/>
        </w:rPr>
        <w:t>Analysis G</w:t>
      </w:r>
      <w:r w:rsidR="0032611C" w:rsidRPr="00106B6B">
        <w:rPr>
          <w:b/>
        </w:rPr>
        <w:t>uide</w:t>
      </w:r>
      <w:r w:rsidRPr="00106B6B">
        <w:rPr>
          <w:b/>
        </w:rPr>
        <w:t xml:space="preserve"> (10/27/2016)</w:t>
      </w:r>
    </w:p>
    <w:p w:rsidR="0032611C" w:rsidRDefault="003261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312"/>
        <w:gridCol w:w="2448"/>
        <w:gridCol w:w="1440"/>
        <w:gridCol w:w="3456"/>
        <w:gridCol w:w="2736"/>
      </w:tblGrid>
      <w:tr w:rsidR="00106B6B" w:rsidTr="00106B6B">
        <w:tc>
          <w:tcPr>
            <w:tcW w:w="1008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>
              <w:rPr>
                <w:b/>
              </w:rPr>
              <w:t>Exam 2</w:t>
            </w:r>
          </w:p>
        </w:tc>
        <w:tc>
          <w:tcPr>
            <w:tcW w:w="3312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Independent Variable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Dependent Variable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Covariates</w:t>
            </w:r>
          </w:p>
        </w:tc>
        <w:tc>
          <w:tcPr>
            <w:tcW w:w="3456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 xml:space="preserve">Preferred Analysis 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Alternative Analysis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≥2 Continuous Variables (or Combination of Continuous and Categorical Variables)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Pr="00106B6B" w:rsidRDefault="00106B6B" w:rsidP="00106B6B">
            <w:pPr>
              <w:spacing w:before="120" w:after="120"/>
              <w:jc w:val="center"/>
              <w:rPr>
                <w:i/>
              </w:rPr>
            </w:pPr>
            <w:r w:rsidRPr="00106B6B">
              <w:rPr>
                <w:i/>
              </w:rPr>
              <w:t>Optional</w:t>
            </w: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Multiple Regression (</w:t>
            </w:r>
            <w:r w:rsidRPr="00A26760">
              <w:rPr>
                <w:i/>
              </w:rPr>
              <w:t>R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 w:rsidRPr="00A26760">
              <w:rPr>
                <w:i/>
              </w:rPr>
              <w:t>t</w:t>
            </w:r>
            <w:r>
              <w:t xml:space="preserve">-test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 w:rsidRPr="00A26760">
              <w:rPr>
                <w:i/>
              </w:rPr>
              <w:t>t</w:t>
            </w:r>
            <w:r>
              <w:t xml:space="preserve">-test </w:t>
            </w:r>
            <w:r>
              <w:t xml:space="preserve">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</w:t>
            </w:r>
            <w:r>
              <w:t>, Logistic Regression (Odds Ratio)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1440" w:type="dxa"/>
          </w:tcPr>
          <w:p w:rsidR="00106B6B" w:rsidRPr="00106B6B" w:rsidRDefault="00106B6B" w:rsidP="00106B6B">
            <w:pPr>
              <w:spacing w:before="120" w:after="120"/>
              <w:jc w:val="center"/>
              <w:rPr>
                <w:i/>
              </w:rPr>
            </w:pPr>
            <w:r w:rsidRPr="00106B6B">
              <w:rPr>
                <w:i/>
              </w:rPr>
              <w:t>Yes</w:t>
            </w: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Logistic Re</w:t>
            </w:r>
            <w:bookmarkStart w:id="0" w:name="_GoBack"/>
            <w:bookmarkEnd w:id="0"/>
            <w:r>
              <w:t>gression (Odds Ratio)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 xml:space="preserve">1 </w:t>
            </w:r>
            <w:proofErr w:type="spellStart"/>
            <w:r>
              <w:t>Polytomous</w:t>
            </w:r>
            <w:proofErr w:type="spellEnd"/>
            <w:r>
              <w:t xml:space="preserve"> (</w:t>
            </w:r>
            <w:proofErr w:type="spellStart"/>
            <w:r>
              <w:t>Multicategory</w:t>
            </w:r>
            <w:proofErr w:type="spellEnd"/>
            <w:r>
              <w:t>)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ANOVA (</w:t>
            </w:r>
            <w:r w:rsidRPr="00A26760">
              <w:rPr>
                <w:i/>
              </w:rPr>
              <w:t>F</w:t>
            </w:r>
            <w:r>
              <w:t xml:space="preserve">) </w:t>
            </w:r>
            <w:r>
              <w:t xml:space="preserve">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≥2</w:t>
            </w:r>
            <w:r>
              <w:t xml:space="preserve"> Categorical Variables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ANOVA (</w:t>
            </w:r>
            <w:r w:rsidRPr="00A26760">
              <w:rPr>
                <w:i/>
              </w:rPr>
              <w:t>F</w:t>
            </w:r>
            <w:r>
              <w:t xml:space="preserve">)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≥</w:t>
            </w:r>
            <w:r>
              <w:t>1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Pr="00106B6B" w:rsidRDefault="00106B6B" w:rsidP="00106B6B">
            <w:pPr>
              <w:spacing w:before="120" w:after="120"/>
              <w:jc w:val="center"/>
              <w:rPr>
                <w:i/>
              </w:rPr>
            </w:pPr>
            <w:r w:rsidRPr="00106B6B">
              <w:rPr>
                <w:i/>
              </w:rPr>
              <w:t>Yes</w:t>
            </w: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 xml:space="preserve">ANCOVA </w:t>
            </w:r>
            <w:r>
              <w:t>(</w:t>
            </w:r>
            <w:r w:rsidRPr="00A26760">
              <w:rPr>
                <w:i/>
              </w:rPr>
              <w:t>F</w:t>
            </w:r>
            <w:r>
              <w:t xml:space="preserve">)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 xml:space="preserve">1 Dichotomous </w:t>
            </w:r>
            <w:r>
              <w:t xml:space="preserve">Categorical </w:t>
            </w:r>
            <w:r>
              <w:t>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Chi-square (χ</w:t>
            </w:r>
            <w:r w:rsidRPr="00A2676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), Logistic Regression (Odds Ratio)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 xml:space="preserve">1 </w:t>
            </w:r>
            <w:proofErr w:type="spellStart"/>
            <w:r>
              <w:t>Polytomous</w:t>
            </w:r>
            <w:proofErr w:type="spellEnd"/>
            <w:r>
              <w:t xml:space="preserve"> (</w:t>
            </w:r>
            <w:proofErr w:type="spellStart"/>
            <w:r>
              <w:t>Multicategory</w:t>
            </w:r>
            <w:proofErr w:type="spellEnd"/>
            <w:r>
              <w:t>)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 xml:space="preserve">1 </w:t>
            </w:r>
            <w:proofErr w:type="spellStart"/>
            <w:r>
              <w:t>Polytomous</w:t>
            </w:r>
            <w:proofErr w:type="spellEnd"/>
            <w:r>
              <w:t xml:space="preserve"> (</w:t>
            </w:r>
            <w:proofErr w:type="spellStart"/>
            <w:r>
              <w:t>Multicategory</w:t>
            </w:r>
            <w:proofErr w:type="spellEnd"/>
            <w:r>
              <w:t>) Categorical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Chi-square (χ</w:t>
            </w:r>
            <w:r w:rsidRPr="00A2676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</w:tbl>
    <w:p w:rsidR="0032611C" w:rsidRDefault="0032611C"/>
    <w:sectPr w:rsidR="0032611C" w:rsidSect="00326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AF"/>
    <w:rsid w:val="00106B6B"/>
    <w:rsid w:val="001805AF"/>
    <w:rsid w:val="00226984"/>
    <w:rsid w:val="002650ED"/>
    <w:rsid w:val="0032611C"/>
    <w:rsid w:val="00596A88"/>
    <w:rsid w:val="00684760"/>
    <w:rsid w:val="00A26760"/>
    <w:rsid w:val="00B35785"/>
    <w:rsid w:val="00B93C14"/>
    <w:rsid w:val="00B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155E1-186F-46F9-97F4-659A11A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2016-10-28T00:28:00Z</dcterms:created>
  <dcterms:modified xsi:type="dcterms:W3CDTF">2016-10-28T01:06:00Z</dcterms:modified>
</cp:coreProperties>
</file>